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360" w:lineRule="auto"/>
        <w:ind w:left="-4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IN CLASS EXERCISE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200" w:line="360" w:lineRule="auto"/>
        <w:ind w:left="-360" w:hanging="27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Which standard should Raul recommend they use to compare security ratings of various CSPs</w:t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HIPAA - outlines the protection of patient information without consent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HITECH - expands HIPAA rules to protect patient information using electronic technology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Public Health Service Act and Records of Substance Abuse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Department of Health and Human Services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provides guidance and training resources to comply with HIPAA laws.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ISO 27001- Leading standard of information security, cyber security, and privacy protection for information security management systems, CSP’s can be certified by an accreditation body via an audit.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00" w:before="0" w:line="360" w:lineRule="auto"/>
        <w:ind w:left="-450" w:hanging="27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are key features of a standard that applies (requirements)? Where are they defined? What is the penalty for not following them?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200" w:before="0" w:line="360" w:lineRule="auto"/>
        <w:ind w:left="-90" w:hanging="27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Penalty: violation of the HITECH act has a maximum penalty amount of $1.5 million for all violations of an identical provision.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00" w:before="0" w:line="360" w:lineRule="auto"/>
        <w:ind w:left="-9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Required notice to be given out if there is any breach in personal health information (PHI or ePHI)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200" w:before="0" w:line="360" w:lineRule="auto"/>
        <w:ind w:left="-9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Under HITECH, patients must be given access to their medical records electronically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00" w:before="0" w:line="360" w:lineRule="auto"/>
        <w:ind w:left="-9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HIPAA prevents CSPs from using a patient’s data that is inconsistent with its rules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00" w:line="360" w:lineRule="auto"/>
        <w:ind w:left="-9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Public Health Service Act and Records of Substance Abuse statute makes sure that the records of patients and their information is protected unless a written consent is given by the patient.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00" w:line="360" w:lineRule="auto"/>
        <w:ind w:left="-45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 an architecture and a concept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Hybrid architecture would be the best decision since they already have a data center, allowing for the company to continue using their pre-existing hardware while utilizing other cloud service providers. Thus, using less resources on their end.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hybrid architecture would (theoretically) allow the company to store the most sensitive data more securely than a public cloud architecture, while also relieving some of the costs associated with a strictly on-prem data center.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200" w:before="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Some of the company's data infrastructure may be too old to move to the cloud. 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200" w:line="360" w:lineRule="auto"/>
        <w:ind w:left="0" w:hanging="27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Maybe a community cloud, sharing access with the medical organizations and offices that they contract out to.</w:t>
      </w:r>
    </w:p>
    <w:p w:rsidR="00000000" w:rsidDel="00000000" w:rsidP="00000000" w:rsidRDefault="00000000" w:rsidRPr="00000000" w14:paraId="00000013">
      <w:pPr>
        <w:spacing w:after="200" w:line="360" w:lineRule="auto"/>
        <w:ind w:left="-450" w:firstLine="0"/>
        <w:rPr>
          <w:rFonts w:ascii="Times New Roman" w:cs="Times New Roman" w:eastAsia="Times New Roman" w:hAnsi="Times New Roman"/>
          <w:b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RESOURCES</w:t>
      </w:r>
    </w:p>
    <w:p w:rsidR="00000000" w:rsidDel="00000000" w:rsidP="00000000" w:rsidRDefault="00000000" w:rsidRPr="00000000" w14:paraId="00000014">
      <w:pPr>
        <w:spacing w:after="200" w:line="360" w:lineRule="auto"/>
        <w:ind w:left="-450" w:firstLine="0"/>
        <w:rPr>
          <w:rFonts w:ascii="Times New Roman" w:cs="Times New Roman" w:eastAsia="Times New Roman" w:hAnsi="Times New Roman"/>
          <w:sz w:val="24"/>
          <w:szCs w:val="24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https://www.hhs.gov/hipaa/for-professionals/special-topics/health-information-technology/cloud-computing/index.html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00" w:line="360" w:lineRule="auto"/>
        <w:ind w:left="-450" w:firstLine="0"/>
        <w:rPr>
          <w:rFonts w:ascii="Times New Roman" w:cs="Times New Roman" w:eastAsia="Times New Roman" w:hAnsi="Times New Roman"/>
          <w:sz w:val="24"/>
          <w:szCs w:val="24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https://www.digitalguardian.com/blog/what-hitech-compliance-understanding-and-meeting-hitech-requirements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https://advisera.com/27001academy/what-is-iso-27001/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after="200" w:line="360" w:lineRule="auto"/>
        <w:ind w:left="-45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5840" w:w="12240" w:orient="portrait"/>
      <w:pgMar w:bottom="90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/>
      <w:pict>
        <v:shape id="PowerPlusWaterMarkObject1" style="position:absolute;width:233.72733306884766pt;height:51.56152343749999pt;rotation:315;z-index:-503316481;mso-position-horizontal-relative:margin;mso-position-horizontal:center;mso-position-vertical-relative:margin;mso-position-vertical:center;" fillcolor="#ffffff" stroked="f" type="#_x0000_t136">
          <v:fill angle="0" opacity="65536f"/>
          <v:textpath fitshape="t" string="CLASSIFIED" style="font-family:&amp;quot;Comic Sans MS&amp;quot;;font-size:37.0pt;font-style:italic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117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advisera.com/27001academy/what-is-iso-27001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hhs.gov/hipaa/for-professionals/special-topics/health-information-technology/cloud-computing/index.html" TargetMode="External"/><Relationship Id="rId7" Type="http://schemas.openxmlformats.org/officeDocument/2006/relationships/hyperlink" Target="https://www.hhs.gov/hipaa/for-professionals/special-topics/health-information-technology/cloud-computing/index.html" TargetMode="External"/><Relationship Id="rId8" Type="http://schemas.openxmlformats.org/officeDocument/2006/relationships/hyperlink" Target="https://www.digitalguardian.com/blog/what-hitech-compliance-understanding-and-meeting-hitech-require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