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64"/>
        <w:numPr>
          <w:ilvl w:val="0"/>
          <w:numId w:val="3"/>
        </w:numPr>
        <w:pBdr/>
        <w:spacing/>
        <w:ind/>
        <w:rPr/>
      </w:pPr>
      <w:r/>
      <w:r>
        <w:t xml:space="preserve">How many 3rd-party components were detected using the CAST HIGHLIGHT tool SBOM s/w composition table?</w:t>
      </w:r>
      <w:r/>
    </w:p>
    <w:p>
      <w:pPr>
        <w:pBdr/>
        <w:spacing/>
        <w:ind w:firstLine="708"/>
        <w:rPr/>
      </w:pPr>
      <w:r>
        <w:rPr>
          <w:highlight w:val="none"/>
        </w:rPr>
        <w:t xml:space="preserve">145 components were found.</w:t>
      </w:r>
      <w:r>
        <w:rPr>
          <w:highlight w:val="none"/>
        </w:rPr>
      </w:r>
    </w:p>
    <w:p>
      <w:pPr>
        <w:pStyle w:val="664"/>
        <w:numPr>
          <w:ilvl w:val="0"/>
          <w:numId w:val="3"/>
        </w:numPr>
        <w:pBdr/>
        <w:spacing/>
        <w:ind/>
        <w:rPr/>
      </w:pPr>
      <w:r>
        <w:rPr>
          <w:highlight w:val="none"/>
        </w:rPr>
        <w:t xml:space="preserve">What is the oldest release date of the version of the components identified in use?</w:t>
      </w:r>
      <w:r>
        <w:rPr>
          <w:highlight w:val="none"/>
        </w:rPr>
      </w:r>
    </w:p>
    <w:p>
      <w:pPr>
        <w:pBdr/>
        <w:spacing/>
        <w:ind w:firstLine="708"/>
        <w:rPr/>
      </w:pPr>
      <w:r>
        <w:rPr>
          <w:highlight w:val="none"/>
        </w:rPr>
      </w:r>
      <w:r>
        <w:rPr>
          <w:highlight w:val="none"/>
        </w:rPr>
        <w:t xml:space="preserve">November 8th, 2005</w:t>
      </w:r>
      <w:r>
        <w:rPr>
          <w:highlight w:val="none"/>
        </w:rPr>
      </w:r>
    </w:p>
    <w:p>
      <w:pPr>
        <w:pStyle w:val="664"/>
        <w:numPr>
          <w:ilvl w:val="0"/>
          <w:numId w:val="3"/>
        </w:numPr>
        <w:pBdr/>
        <w:spacing/>
        <w:ind/>
        <w:rPr/>
      </w:pPr>
      <w:r>
        <w:rPr>
          <w:highlight w:val="none"/>
        </w:rPr>
        <w:t xml:space="preserve">Were there any ‘high’ CVEs noted for possible vulnerabilities for the oldest release date? If so, what were they?</w:t>
      </w: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  <w:r/>
      <w:r>
        <w:rPr>
          <w:highlight w:val="none"/>
        </w:rPr>
      </w:r>
      <w:r>
        <w:rPr>
          <w:highlight w:val="none"/>
        </w:rPr>
      </w:r>
      <w:r/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  <w:r/>
    </w:p>
    <w:tbl>
      <w:tblPr>
        <w:tblStyle w:val="11"/>
        <w:tblW w:w="0" w:type="auto"/>
        <w:tblBorders/>
        <w:tblLook w:val="04A0" w:firstRow="1" w:lastRow="0" w:firstColumn="1" w:lastColumn="0" w:noHBand="0" w:noVBand="1"/>
      </w:tblPr>
      <w:tblGrid>
        <w:gridCol w:w="4680"/>
        <w:gridCol w:w="4680"/>
        <w:gridCol w:w="4680"/>
      </w:tblGrid>
      <w:tr>
        <w:trPr>
          <w:trHeight w:val="269"/>
        </w:trPr>
        <w:tc>
          <w:tcPr>
            <w:tcBorders/>
            <w:tcW w:w="4680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  <w:t xml:space="preserve">Dependency</w:t>
            </w:r>
            <w:r>
              <w:rPr>
                <w:highlight w:val="none"/>
              </w:rPr>
            </w:r>
          </w:p>
        </w:tc>
        <w:tc>
          <w:tcPr>
            <w:tcBorders/>
            <w:tcW w:w="4680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  <w:t xml:space="preserve">Release Date</w:t>
            </w:r>
            <w:r>
              <w:rPr>
                <w:highlight w:val="none"/>
              </w:rPr>
            </w:r>
          </w:p>
        </w:tc>
        <w:tc>
          <w:tcPr>
            <w:tcBorders/>
            <w:tcW w:w="4680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  <w:t xml:space="preserve">High Risk CVEs</w:t>
            </w:r>
            <w:r>
              <w:rPr>
                <w:highlight w:val="none"/>
              </w:rPr>
            </w:r>
          </w:p>
        </w:tc>
      </w:tr>
      <w:tr>
        <w:trPr/>
        <w:tc>
          <w:tcPr>
            <w:tcBorders/>
            <w:tcW w:w="4680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commons-beanutils:commons-beanutils</w:t>
            </w:r>
            <w:r/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/>
            <w:tcW w:w="4680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  <w:t xml:space="preserve">2005-11-08</w:t>
            </w:r>
            <w:r>
              <w:rPr>
                <w:highlight w:val="none"/>
              </w:rPr>
            </w:r>
          </w:p>
        </w:tc>
        <w:tc>
          <w:tcPr>
            <w:tcBorders/>
            <w:tcW w:w="4680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CVE-2014-0114</w:t>
            </w:r>
            <w:r>
              <w:rPr>
                <w:highlight w:val="none"/>
              </w:rPr>
            </w:r>
          </w:p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  <w:t xml:space="preserve">CVE-2019-1008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Borders/>
            <w:tcW w:w="4680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struts:struts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/>
            <w:tcW w:w="4680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  <w:t xml:space="preserve">2005-11-08</w:t>
            </w:r>
            <w:r>
              <w:rPr>
                <w:highlight w:val="none"/>
              </w:rPr>
            </w:r>
          </w:p>
        </w:tc>
        <w:tc>
          <w:tcPr>
            <w:tcBorders/>
            <w:tcW w:w="4680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CVE-2006-1546</w:t>
            </w:r>
            <w:r>
              <w:rPr>
                <w:highlight w:val="none"/>
              </w:rPr>
            </w:r>
          </w:p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CVE-2006-1547</w:t>
            </w:r>
            <w:r>
              <w:rPr>
                <w:highlight w:val="none"/>
              </w:rPr>
            </w:r>
          </w:p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CVE-2014-0114</w:t>
            </w:r>
            <w:r>
              <w:rPr>
                <w:highlight w:val="none"/>
              </w:rPr>
            </w:r>
          </w:p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CVE-2015-0899</w:t>
            </w:r>
            <w:r>
              <w:rPr>
                <w:highlight w:val="none"/>
              </w:rPr>
            </w:r>
          </w:p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CVE-2016-1181</w:t>
            </w:r>
            <w:r>
              <w:rPr>
                <w:highlight w:val="none"/>
              </w:rPr>
            </w:r>
          </w:p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CVE-2016</w:t>
            </w:r>
            <w:r/>
            <w:r/>
          </w:p>
        </w:tc>
      </w:tr>
    </w:tbl>
    <w:p>
      <w:pPr>
        <w:pBdr/>
        <w:spacing/>
        <w:ind w:firstLine="0" w:left="0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664"/>
        <w:numPr>
          <w:ilvl w:val="0"/>
          <w:numId w:val="3"/>
        </w:numPr>
        <w:pBdr/>
        <w:spacing/>
        <w:ind/>
        <w:rPr/>
      </w:pPr>
      <w:r>
        <w:rPr>
          <w:highlight w:val="none"/>
        </w:rPr>
        <w:t xml:space="preserve">How many 3rd party components were detected that had a transitive dependency on another component?</w:t>
      </w: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  <w:r/>
    </w:p>
    <w:p>
      <w:pPr>
        <w:pBdr/>
        <w:spacing/>
        <w:ind w:firstLine="0" w:left="0"/>
        <w:rPr>
          <w:highlight w:val="none"/>
        </w:rPr>
      </w:pPr>
      <w:r>
        <w:rPr>
          <w:highlight w:val="none"/>
        </w:rPr>
        <w:t xml:space="preserve">482 transitive dependencies were found.</w:t>
      </w: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664"/>
        <w:numPr>
          <w:ilvl w:val="0"/>
          <w:numId w:val="3"/>
        </w:numPr>
        <w:pBdr/>
        <w:spacing/>
        <w:ind/>
        <w:rPr/>
      </w:pPr>
      <w:r>
        <w:rPr>
          <w:highlight w:val="none"/>
        </w:rPr>
        <w:t xml:space="preserve">Was going to “safer component versions”</w:t>
      </w:r>
      <w:r>
        <w:rPr>
          <w:highlight w:val="none"/>
        </w:rPr>
        <w:t xml:space="preserve"> able to mitigate all high CVE vulnerability risks? Medium? Low? If yes to any, how many risks were there to start? If no, how many remained?</w:t>
      </w:r>
      <w:r>
        <w:rPr>
          <w:highlight w:val="none"/>
        </w:rPr>
      </w:r>
    </w:p>
    <w:tbl>
      <w:tblPr>
        <w:tblStyle w:val="11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1253"/>
        <w:gridCol w:w="3260"/>
        <w:gridCol w:w="2409"/>
        <w:gridCol w:w="2438"/>
      </w:tblGrid>
      <w:tr>
        <w:trPr>
          <w:trHeight w:val="275"/>
        </w:trPr>
        <w:tc>
          <w:tcPr>
            <w:tcBorders/>
            <w:tcW w:w="1253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0"/>
                <w:szCs w:val="20"/>
                <w:highlight w:val="none"/>
              </w:rPr>
            </w:pPr>
            <w:r>
              <w:rPr>
                <w:b/>
                <w:bCs/>
                <w:sz w:val="20"/>
                <w:szCs w:val="20"/>
                <w:highlight w:val="none"/>
              </w:rPr>
              <w:t xml:space="preserve">Risk Level</w:t>
            </w:r>
            <w:r>
              <w:rPr>
                <w:b/>
                <w:bCs/>
                <w:sz w:val="20"/>
                <w:szCs w:val="20"/>
                <w:highlight w:val="none"/>
              </w:rPr>
            </w:r>
            <w:r>
              <w:rPr>
                <w:b/>
                <w:bCs/>
                <w:sz w:val="20"/>
                <w:szCs w:val="20"/>
                <w:highlight w:val="none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0"/>
                <w:szCs w:val="20"/>
                <w:highlight w:val="none"/>
              </w:rPr>
            </w:pPr>
            <w:r>
              <w:rPr>
                <w:b/>
                <w:bCs/>
                <w:sz w:val="20"/>
                <w:szCs w:val="20"/>
                <w:highlight w:val="none"/>
              </w:rPr>
              <w:t xml:space="preserve">Safe Version Available for all?</w:t>
            </w:r>
            <w:r>
              <w:rPr>
                <w:b/>
                <w:bCs/>
                <w:sz w:val="20"/>
                <w:szCs w:val="20"/>
                <w:highlight w:val="none"/>
              </w:rPr>
            </w:r>
            <w:r>
              <w:rPr>
                <w:b/>
                <w:bCs/>
                <w:sz w:val="20"/>
                <w:szCs w:val="20"/>
                <w:highlight w:val="none"/>
              </w:rPr>
            </w:r>
          </w:p>
        </w:tc>
        <w:tc>
          <w:tcPr>
            <w:tcBorders/>
            <w:tcW w:w="240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0"/>
                <w:szCs w:val="20"/>
                <w:highlight w:val="none"/>
              </w:rPr>
            </w:pPr>
            <w:r>
              <w:rPr>
                <w:b/>
                <w:bCs/>
                <w:sz w:val="20"/>
                <w:szCs w:val="20"/>
                <w:highlight w:val="none"/>
              </w:rPr>
              <w:t xml:space="preserve">Total Risk Count</w:t>
            </w:r>
            <w:r>
              <w:rPr>
                <w:b/>
                <w:bCs/>
                <w:sz w:val="20"/>
                <w:szCs w:val="20"/>
                <w:highlight w:val="none"/>
              </w:rPr>
            </w:r>
            <w:r>
              <w:rPr>
                <w:b/>
                <w:bCs/>
                <w:sz w:val="20"/>
                <w:szCs w:val="20"/>
                <w:highlight w:val="none"/>
              </w:rPr>
            </w:r>
          </w:p>
        </w:tc>
        <w:tc>
          <w:tcPr>
            <w:tcBorders/>
            <w:tcW w:w="243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0"/>
                <w:szCs w:val="20"/>
                <w:highlight w:val="none"/>
              </w:rPr>
            </w:pPr>
            <w:r>
              <w:rPr>
                <w:b/>
                <w:bCs/>
                <w:sz w:val="20"/>
                <w:szCs w:val="20"/>
                <w:highlight w:val="none"/>
              </w:rPr>
              <w:t xml:space="preserve">Remaining Risk Count</w:t>
            </w:r>
            <w:r>
              <w:rPr>
                <w:b/>
                <w:bCs/>
                <w:sz w:val="20"/>
                <w:szCs w:val="20"/>
                <w:highlight w:val="none"/>
              </w:rPr>
            </w:r>
            <w:r>
              <w:rPr>
                <w:b/>
                <w:bCs/>
                <w:sz w:val="20"/>
                <w:szCs w:val="20"/>
                <w:highlight w:val="none"/>
              </w:rPr>
            </w:r>
          </w:p>
        </w:tc>
      </w:tr>
      <w:tr>
        <w:trPr/>
        <w:tc>
          <w:tcPr>
            <w:tcBorders/>
            <w:tcW w:w="125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High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/>
            <w:tcW w:w="326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No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/>
            <w:tcW w:w="240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27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/>
            <w:tcW w:w="243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7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</w:tr>
      <w:tr>
        <w:trPr/>
        <w:tc>
          <w:tcPr>
            <w:tcBorders/>
            <w:tcW w:w="125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Medium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No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/>
            <w:tcW w:w="24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16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/>
            <w:tcW w:w="243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7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</w:tr>
      <w:tr>
        <w:trPr/>
        <w:tc>
          <w:tcPr>
            <w:tcBorders/>
            <w:tcW w:w="125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Low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Yes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/>
            <w:tcW w:w="24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1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/>
            <w:tcW w:w="243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0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</w:tr>
    </w:tbl>
    <w:p>
      <w:pPr>
        <w:pBdr/>
        <w:spacing/>
        <w:ind w:firstLine="0" w:left="0"/>
        <w:rPr/>
      </w:pPr>
      <w:r>
        <w:rPr>
          <w:highlight w:val="none"/>
        </w:rPr>
      </w:r>
      <w:r>
        <w:rPr>
          <w:highlight w:val="none"/>
        </w:rPr>
      </w:r>
    </w:p>
    <w:p>
      <w:pPr>
        <w:pStyle w:val="664"/>
        <w:numPr>
          <w:ilvl w:val="0"/>
          <w:numId w:val="3"/>
        </w:numPr>
        <w:pBdr/>
        <w:spacing/>
        <w:ind/>
        <w:rPr/>
      </w:pPr>
      <w:r>
        <w:rPr>
          <w:highlight w:val="none"/>
        </w:rPr>
        <w:t xml:space="preserve">What 3rd party component created the most Common </w:t>
      </w:r>
      <w:r>
        <w:rPr>
          <w:highlight w:val="none"/>
        </w:rPr>
        <w:t xml:space="preserve">Weakness Enumeration issues?</w:t>
      </w:r>
      <w:r>
        <w:rPr>
          <w:highlight w:val="none"/>
        </w:rPr>
      </w:r>
    </w:p>
    <w:p>
      <w:pPr>
        <w:pBdr/>
        <w:tabs>
          <w:tab w:val="left" w:leader="none" w:pos="6089"/>
        </w:tabs>
        <w:spacing/>
        <w:ind w:firstLine="0" w:left="0"/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log4j:log4j</w:t>
      </w:r>
      <w:r>
        <w:rPr>
          <w:highlight w:val="none"/>
        </w:rPr>
        <w:tab/>
      </w: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664"/>
        <w:numPr>
          <w:ilvl w:val="0"/>
          <w:numId w:val="3"/>
        </w:numPr>
        <w:pBdr/>
        <w:spacing/>
        <w:ind/>
        <w:rPr/>
      </w:pPr>
      <w:r>
        <w:rPr>
          <w:highlight w:val="none"/>
        </w:rPr>
        <w:t xml:space="preserve">Of the CWEs reviewed, were there any that were part of the Open Web Application Security Project 25 most dangerous software weaknesses? Which CWE?</w:t>
      </w:r>
      <w:r>
        <w:rPr>
          <w:highlight w:val="none"/>
        </w:rPr>
      </w:r>
    </w:p>
    <w:p>
      <w:pPr>
        <w:pBdr/>
        <w:tabs>
          <w:tab w:val="left" w:leader="none" w:pos="6089"/>
        </w:tabs>
        <w:spacing/>
        <w:ind w:firstLine="0" w:left="0"/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log4j:log4j CWE-79</w:t>
      </w:r>
      <w:r>
        <w:rPr>
          <w:highlight w:val="none"/>
        </w:rPr>
      </w:r>
      <w:r>
        <w:rPr>
          <w:highlight w:val="none"/>
        </w:rPr>
      </w:r>
    </w:p>
    <w:p>
      <w:pPr>
        <w:pStyle w:val="664"/>
        <w:numPr>
          <w:ilvl w:val="0"/>
          <w:numId w:val="3"/>
        </w:numPr>
        <w:pBdr/>
        <w:spacing/>
        <w:ind/>
        <w:rPr/>
      </w:pPr>
      <w:r>
        <w:rPr>
          <w:highlight w:val="none"/>
        </w:rPr>
        <w:t xml:space="preserve">Using OSINT, find the top 10 vendors affected by this vulnerability.</w:t>
      </w:r>
      <w:r>
        <w:rPr>
          <w:highlight w:val="none"/>
        </w:rPr>
      </w:r>
    </w:p>
    <w:p>
      <w:pPr>
        <w:pBdr/>
        <w:spacing/>
        <w:ind w:firstLine="0" w:left="0"/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According to a Spiceworks article, the top 10 vendors affected by log4j are: Adobe, Cisco, AWS, F-Secure, Broadcom, Fortinet, Fortiguard, IBM, Okta, and VMWare.</w:t>
      </w:r>
      <w:r>
        <w:rPr>
          <w:highlight w:val="none"/>
        </w:rPr>
      </w:r>
      <w:r>
        <w:rPr>
          <w:highlight w:val="none"/>
        </w:rPr>
      </w:r>
    </w:p>
    <w:p>
      <w:pPr>
        <w:pStyle w:val="664"/>
        <w:numPr>
          <w:ilvl w:val="0"/>
          <w:numId w:val="3"/>
        </w:numPr>
        <w:pBdr/>
        <w:spacing/>
        <w:ind/>
        <w:rPr/>
      </w:pPr>
      <w:r>
        <w:rPr>
          <w:highlight w:val="none"/>
        </w:rPr>
        <w:t xml:space="preserve">How many names of the detected components that matched with a file fingerprint in the CAST Highlight component knowledge base were found in the local path of the file?</w:t>
      </w: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  <w:r/>
    </w:p>
    <w:p>
      <w:pPr>
        <w:pBdr/>
        <w:spacing/>
        <w:ind w:firstLine="0" w:left="0"/>
        <w:rPr/>
      </w:pPr>
      <w:r>
        <w:rPr>
          <w:highlight w:val="none"/>
        </w:rPr>
        <w:tab/>
      </w:r>
      <w:r>
        <w:rPr>
          <w:highlight w:val="none"/>
        </w:rPr>
        <w:t xml:space="preserve">218</w:t>
      </w:r>
      <w:r>
        <w:rPr>
          <w:highlight w:val="none"/>
        </w:rPr>
      </w:r>
    </w:p>
    <w:sectPr>
      <w:headerReference w:type="default" r:id="rId9"/>
      <w:footnotePr/>
      <w:endnotePr/>
      <w:type w:val="nextPage"/>
      <w:pgSz w:h="15840" w:orient="portrait" w:w="12240"/>
      <w:pgMar w:top="1440" w:right="1440" w:bottom="1440" w:left="144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75"/>
      <w:pBdr/>
      <w:spacing/>
      <w:ind/>
      <w:rPr/>
    </w:pPr>
    <w:r>
      <w:t xml:space="preserve">Aidan Sharpe</w:t>
      <w:tab/>
      <w:t xml:space="preserve">Reading Assignment 6</w:t>
      <w:tab/>
      <w:t xml:space="preserve">December 5th, 2024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0"/>
    <w:next w:val="660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0"/>
    <w:next w:val="66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0"/>
    <w:next w:val="66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0"/>
    <w:next w:val="66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0"/>
    <w:next w:val="66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0"/>
    <w:next w:val="66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0"/>
    <w:next w:val="66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0"/>
    <w:next w:val="66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0"/>
    <w:next w:val="66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0"/>
    <w:next w:val="66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0"/>
    <w:next w:val="66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0"/>
    <w:next w:val="66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0"/>
    <w:next w:val="66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0"/>
    <w:next w:val="6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0"/>
    <w:next w:val="660"/>
    <w:uiPriority w:val="39"/>
    <w:unhideWhenUsed/>
    <w:pPr>
      <w:pBdr/>
      <w:spacing w:after="100"/>
      <w:ind/>
    </w:pPr>
  </w:style>
  <w:style w:type="paragraph" w:styleId="189">
    <w:name w:val="toc 2"/>
    <w:basedOn w:val="660"/>
    <w:next w:val="660"/>
    <w:uiPriority w:val="39"/>
    <w:unhideWhenUsed/>
    <w:pPr>
      <w:pBdr/>
      <w:spacing w:after="100"/>
      <w:ind w:left="220"/>
    </w:pPr>
  </w:style>
  <w:style w:type="paragraph" w:styleId="190">
    <w:name w:val="toc 3"/>
    <w:basedOn w:val="660"/>
    <w:next w:val="660"/>
    <w:uiPriority w:val="39"/>
    <w:unhideWhenUsed/>
    <w:pPr>
      <w:pBdr/>
      <w:spacing w:after="100"/>
      <w:ind w:left="440"/>
    </w:pPr>
  </w:style>
  <w:style w:type="paragraph" w:styleId="191">
    <w:name w:val="toc 4"/>
    <w:basedOn w:val="660"/>
    <w:next w:val="660"/>
    <w:uiPriority w:val="39"/>
    <w:unhideWhenUsed/>
    <w:pPr>
      <w:pBdr/>
      <w:spacing w:after="100"/>
      <w:ind w:left="660"/>
    </w:pPr>
  </w:style>
  <w:style w:type="paragraph" w:styleId="192">
    <w:name w:val="toc 5"/>
    <w:basedOn w:val="660"/>
    <w:next w:val="660"/>
    <w:uiPriority w:val="39"/>
    <w:unhideWhenUsed/>
    <w:pPr>
      <w:pBdr/>
      <w:spacing w:after="100"/>
      <w:ind w:left="880"/>
    </w:pPr>
  </w:style>
  <w:style w:type="paragraph" w:styleId="193">
    <w:name w:val="toc 6"/>
    <w:basedOn w:val="660"/>
    <w:next w:val="660"/>
    <w:uiPriority w:val="39"/>
    <w:unhideWhenUsed/>
    <w:pPr>
      <w:pBdr/>
      <w:spacing w:after="100"/>
      <w:ind w:left="1100"/>
    </w:pPr>
  </w:style>
  <w:style w:type="paragraph" w:styleId="194">
    <w:name w:val="toc 7"/>
    <w:basedOn w:val="660"/>
    <w:next w:val="660"/>
    <w:uiPriority w:val="39"/>
    <w:unhideWhenUsed/>
    <w:pPr>
      <w:pBdr/>
      <w:spacing w:after="100"/>
      <w:ind w:left="1320"/>
    </w:pPr>
  </w:style>
  <w:style w:type="paragraph" w:styleId="195">
    <w:name w:val="toc 8"/>
    <w:basedOn w:val="660"/>
    <w:next w:val="660"/>
    <w:uiPriority w:val="39"/>
    <w:unhideWhenUsed/>
    <w:pPr>
      <w:pBdr/>
      <w:spacing w:after="100"/>
      <w:ind w:left="1540"/>
    </w:pPr>
  </w:style>
  <w:style w:type="paragraph" w:styleId="196">
    <w:name w:val="toc 9"/>
    <w:basedOn w:val="660"/>
    <w:next w:val="66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0"/>
    <w:next w:val="660"/>
    <w:uiPriority w:val="99"/>
    <w:unhideWhenUsed/>
    <w:pPr>
      <w:pBdr/>
      <w:spacing w:after="0" w:afterAutospacing="0"/>
      <w:ind/>
    </w:pPr>
  </w:style>
  <w:style w:type="paragraph" w:styleId="660" w:default="1">
    <w:name w:val="Normal"/>
    <w:qFormat/>
    <w:pPr>
      <w:pBdr/>
      <w:spacing/>
      <w:ind/>
    </w:pPr>
  </w:style>
  <w:style w:type="table" w:styleId="66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2" w:default="1">
    <w:name w:val="No List"/>
    <w:uiPriority w:val="99"/>
    <w:semiHidden/>
    <w:unhideWhenUsed/>
    <w:pPr>
      <w:pBdr/>
      <w:spacing/>
      <w:ind/>
    </w:pPr>
  </w:style>
  <w:style w:type="paragraph" w:styleId="663">
    <w:name w:val="No Spacing"/>
    <w:basedOn w:val="660"/>
    <w:uiPriority w:val="1"/>
    <w:qFormat/>
    <w:pPr>
      <w:pBdr/>
      <w:spacing w:after="0" w:line="240" w:lineRule="auto"/>
      <w:ind/>
    </w:pPr>
  </w:style>
  <w:style w:type="paragraph" w:styleId="664">
    <w:name w:val="List Paragraph"/>
    <w:basedOn w:val="660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2024-12-06T04:52:51Z</dcterms:modified>
</cp:coreProperties>
</file>