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38"/>
        <w:pBdr/>
        <w:spacing/>
        <w:ind/>
        <w:rPr>
          <w:rFonts w:ascii="Arial" w:hAnsi="Arial" w:cs="Arial"/>
          <w14:ligatures w14:val="none"/>
        </w:rPr>
      </w:pPr>
      <w:r>
        <w:rPr>
          <w:rFonts w:ascii="Arial" w:hAnsi="Arial" w:eastAsia="Arial" w:cs="Arial"/>
          <w:highlight w:val="none"/>
        </w:rPr>
        <w:t xml:space="preserve">Reading Assignment 5 – Aidan Sharpe</w:t>
      </w:r>
      <w:r>
        <w:rPr>
          <w:rFonts w:ascii="Arial" w:hAnsi="Arial" w:eastAsia="Arial" w:cs="Arial"/>
          <w:highlight w:val="none"/>
        </w:rPr>
      </w:r>
    </w:p>
    <w:p>
      <w:pPr>
        <w:pStyle w:val="139"/>
        <w:pBdr/>
        <w:spacing/>
        <w:ind/>
        <w:rPr>
          <w:rFonts w:ascii="Arial" w:hAnsi="Arial" w:cs="Arial"/>
        </w:rPr>
      </w:pPr>
      <w:r>
        <w:rPr>
          <w:rFonts w:ascii="Arial" w:hAnsi="Arial" w:eastAsia="Arial" w:cs="Arial"/>
        </w:rPr>
        <w:t xml:space="preserve">Why This Research is Important to the Firm</w:t>
      </w:r>
      <w:r>
        <w:rPr>
          <w:rFonts w:ascii="Arial" w:hAnsi="Arial" w:eastAsia="Arial" w:cs="Arial"/>
        </w:rPr>
      </w:r>
    </w:p>
    <w:p>
      <w:pPr>
        <w:pStyle w:val="140"/>
        <w:pBdr/>
        <w:spacing/>
        <w:ind/>
        <w:rPr>
          <w:rFonts w:ascii="Arial" w:hAnsi="Arial" w:cs="Arial"/>
          <w:highlight w:val="none"/>
          <w14:ligatures w14:val="none"/>
        </w:rPr>
      </w:pPr>
      <w:r>
        <w:rPr>
          <w:rFonts w:ascii="Arial" w:hAnsi="Arial" w:eastAsia="Arial" w:cs="Arial"/>
        </w:rPr>
        <w:t xml:space="preserve">1. Use of Cyber Threat Intelligence (CTI)</w:t>
      </w:r>
      <w:r>
        <w:rPr>
          <w:rFonts w:ascii="Arial" w:hAnsi="Arial" w:eastAsia="Arial" w:cs="Arial"/>
        </w:rPr>
      </w:r>
    </w:p>
    <w:p>
      <w:pPr>
        <w:pStyle w:val="664"/>
        <w:numPr>
          <w:ilvl w:val="0"/>
          <w:numId w:val="14"/>
        </w:numPr>
        <w:pBdr/>
        <w:spacing/>
        <w:ind/>
        <w:rPr>
          <w:rFonts w:ascii="Arial" w:hAnsi="Arial" w:cs="Arial"/>
        </w:rPr>
      </w:pPr>
      <w:r>
        <w:rPr>
          <w:rFonts w:ascii="Arial" w:hAnsi="Arial" w:eastAsia="Arial" w:cs="Arial"/>
          <w:b/>
          <w:color w:val="000000"/>
          <w:sz w:val="24"/>
        </w:rPr>
        <w:t xml:space="preserve">Understanding and Prior Knowledge</w:t>
      </w:r>
      <w:r>
        <w:rPr>
          <w:rFonts w:ascii="Arial" w:hAnsi="Arial" w:eastAsia="Arial" w:cs="Arial"/>
          <w:color w:val="000000"/>
          <w:sz w:val="24"/>
        </w:rPr>
        <w:t xml:space="preserve">: The article emphasized that significant benefits come from updating prior threat beliefs with relevant CTI. Therefore, it is in our firm’s best interests to regularly update our organization’s beliefs with fresh CTI.</w:t>
      </w:r>
      <w:r>
        <w:rPr>
          <w:rFonts w:ascii="Arial" w:hAnsi="Arial" w:eastAsia="Arial" w:cs="Arial"/>
        </w:rPr>
      </w:r>
    </w:p>
    <w:p>
      <w:pPr>
        <w:pStyle w:val="664"/>
        <w:numPr>
          <w:ilvl w:val="0"/>
          <w:numId w:val="14"/>
        </w:numPr>
        <w:pBdr/>
        <w:spacing/>
        <w:ind/>
        <w:rPr>
          <w:rFonts w:ascii="Arial" w:hAnsi="Arial" w:cs="Arial"/>
        </w:rPr>
      </w:pPr>
      <w:r>
        <w:rPr>
          <w:rFonts w:ascii="Arial" w:hAnsi="Arial" w:eastAsia="Arial" w:cs="Arial"/>
          <w:b/>
          <w:color w:val="000000"/>
          <w:sz w:val="24"/>
        </w:rPr>
        <w:t xml:space="preserve">Focus on Actionable Intelligence</w:t>
      </w:r>
      <w:r>
        <w:rPr>
          <w:rFonts w:ascii="Arial" w:hAnsi="Arial" w:eastAsia="Arial" w:cs="Arial"/>
          <w:color w:val="000000"/>
          <w:sz w:val="24"/>
        </w:rPr>
        <w:t xml:space="preserve">: The research demonstrated that prioritizing CTI that significantly differs from our prior beliefs is the most effective strategy.</w:t>
      </w:r>
      <w:r>
        <w:rPr>
          <w:rFonts w:ascii="Arial" w:hAnsi="Arial" w:eastAsia="Arial" w:cs="Arial"/>
        </w:rPr>
      </w:r>
    </w:p>
    <w:p>
      <w:pPr>
        <w:pStyle w:val="140"/>
        <w:pBdr/>
        <w:spacing/>
        <w:ind/>
        <w:rPr>
          <w:rFonts w:ascii="Arial" w:hAnsi="Arial" w:cs="Arial"/>
          <w14:ligatures w14:val="none"/>
        </w:rPr>
      </w:pPr>
      <w:r>
        <w:rPr>
          <w:rFonts w:ascii="Arial" w:hAnsi="Arial" w:eastAsia="Arial" w:cs="Arial"/>
        </w:rPr>
        <w:t xml:space="preserve">2. Cybersecurity Investment Adjustments</w:t>
      </w:r>
      <w:r>
        <w:rPr>
          <w:rFonts w:ascii="Arial" w:hAnsi="Arial" w:eastAsia="Arial" w:cs="Arial"/>
        </w:rPr>
      </w:r>
    </w:p>
    <w:p>
      <w:pPr>
        <w:pStyle w:val="664"/>
        <w:numPr>
          <w:ilvl w:val="0"/>
          <w:numId w:val="13"/>
        </w:numPr>
        <w:pBdr/>
        <w:spacing/>
        <w:ind/>
        <w:rPr>
          <w:rFonts w:ascii="Arial" w:hAnsi="Arial" w:cs="Arial"/>
        </w:rPr>
      </w:pPr>
      <w:r>
        <w:rPr>
          <w:rFonts w:ascii="Arial" w:hAnsi="Arial" w:eastAsia="Arial" w:cs="Arial"/>
          <w:b/>
          <w:color w:val="000000"/>
          <w:sz w:val="24"/>
        </w:rPr>
        <w:t xml:space="preserve">Reactive Adjustments</w:t>
      </w:r>
      <w:r>
        <w:rPr>
          <w:rFonts w:ascii="Arial" w:hAnsi="Arial" w:eastAsia="Arial" w:cs="Arial"/>
          <w:color w:val="000000"/>
          <w:sz w:val="24"/>
        </w:rPr>
        <w:t xml:space="preserve">: Our firm must be responsive to CTI that suggests a change in threat levels. The article suggests firms gain more when they adjust cybersecurity investments based on intelligence that highlights gaps in current beliefs.</w:t>
      </w:r>
      <w:r>
        <w:rPr>
          <w:rFonts w:ascii="Arial" w:hAnsi="Arial" w:eastAsia="Arial" w:cs="Arial"/>
        </w:rPr>
      </w:r>
    </w:p>
    <w:p>
      <w:pPr>
        <w:pStyle w:val="664"/>
        <w:numPr>
          <w:ilvl w:val="0"/>
          <w:numId w:val="13"/>
        </w:numPr>
        <w:pBdr/>
        <w:spacing/>
        <w:ind/>
        <w:rPr>
          <w:rFonts w:ascii="Arial" w:hAnsi="Arial" w:cs="Arial"/>
        </w:rPr>
      </w:pPr>
      <w:r>
        <w:rPr>
          <w:rFonts w:ascii="Arial" w:hAnsi="Arial" w:eastAsia="Arial" w:cs="Arial"/>
          <w:b/>
          <w:color w:val="000000"/>
          <w:sz w:val="24"/>
        </w:rPr>
        <w:t xml:space="preserve">Investment Sensitivity</w:t>
      </w:r>
      <w:r>
        <w:rPr>
          <w:rFonts w:ascii="Arial" w:hAnsi="Arial" w:eastAsia="Arial" w:cs="Arial"/>
          <w:color w:val="000000"/>
          <w:sz w:val="24"/>
        </w:rPr>
        <w:t xml:space="preserve">: Our firm must dynamically adjust its cybersecurity investments based on new CTI.</w:t>
      </w:r>
      <w:r>
        <w:rPr>
          <w:rFonts w:ascii="Arial" w:hAnsi="Arial" w:eastAsia="Arial" w:cs="Arial"/>
        </w:rPr>
      </w:r>
    </w:p>
    <w:p>
      <w:pPr>
        <w:pStyle w:val="140"/>
        <w:pBdr>
          <w:top w:val="vine" w:color="000000" w:sz="4" w:space="0"/>
          <w:left w:val="vine" w:color="000000" w:sz="4" w:space="0"/>
          <w:bottom w:val="vine" w:color="000000" w:sz="4" w:space="0"/>
          <w:right w:val="vine" w:color="000000" w:sz="4" w:space="0"/>
        </w:pBdr>
        <w:spacing/>
        <w:ind w:right="0" w:firstLine="0" w:left="0"/>
        <w:rPr>
          <w:rFonts w:ascii="Arial" w:hAnsi="Arial" w:cs="Arial"/>
          <w14:ligatures w14:val="none"/>
        </w:rPr>
      </w:pPr>
      <w:r>
        <w:rPr>
          <w:rFonts w:ascii="Arial" w:hAnsi="Arial" w:eastAsia="Arial" w:cs="Arial"/>
        </w:rPr>
        <w:t xml:space="preserve">3. Information Overload Management</w:t>
      </w:r>
      <w:r>
        <w:rPr>
          <w:rFonts w:ascii="Arial" w:hAnsi="Arial" w:eastAsia="Arial" w:cs="Arial"/>
        </w:rPr>
      </w:r>
    </w:p>
    <w:p>
      <w:pPr>
        <w:pStyle w:val="664"/>
        <w:numPr>
          <w:ilvl w:val="0"/>
          <w:numId w:val="12"/>
        </w:numPr>
        <w:pBdr/>
        <w:spacing/>
        <w:ind/>
        <w:rPr>
          <w:rFonts w:ascii="Arial" w:hAnsi="Arial" w:cs="Arial"/>
        </w:rPr>
      </w:pPr>
      <w:r>
        <w:rPr>
          <w:rFonts w:ascii="Arial" w:hAnsi="Arial" w:eastAsia="Arial" w:cs="Arial"/>
          <w:b/>
          <w:color w:val="000000"/>
          <w:sz w:val="24"/>
        </w:rPr>
        <w:t xml:space="preserve">Processing Capability</w:t>
      </w:r>
      <w:r>
        <w:rPr>
          <w:rFonts w:ascii="Arial" w:hAnsi="Arial" w:eastAsia="Arial" w:cs="Arial"/>
          <w:color w:val="000000"/>
          <w:sz w:val="24"/>
        </w:rPr>
        <w:t xml:space="preserve">: It is important to understand how much CTI can be processed by our organization.</w:t>
      </w:r>
      <w:r>
        <w:rPr>
          <w:rFonts w:ascii="Arial" w:hAnsi="Arial" w:eastAsia="Arial" w:cs="Arial"/>
        </w:rPr>
      </w:r>
    </w:p>
    <w:p>
      <w:pPr>
        <w:pStyle w:val="664"/>
        <w:numPr>
          <w:ilvl w:val="0"/>
          <w:numId w:val="12"/>
        </w:numPr>
        <w:pBdr/>
        <w:spacing/>
        <w:ind/>
        <w:rPr>
          <w:rFonts w:ascii="Arial" w:hAnsi="Arial" w:cs="Arial"/>
        </w:rPr>
      </w:pPr>
      <w:r>
        <w:rPr>
          <w:rFonts w:ascii="Arial" w:hAnsi="Arial" w:eastAsia="Arial" w:cs="Arial"/>
          <w:b/>
          <w:color w:val="000000"/>
          <w:sz w:val="24"/>
        </w:rPr>
        <w:t xml:space="preserve">Relevance Filtering</w:t>
      </w:r>
      <w:r>
        <w:rPr>
          <w:rFonts w:ascii="Arial" w:hAnsi="Arial" w:eastAsia="Arial" w:cs="Arial"/>
          <w:color w:val="000000"/>
          <w:sz w:val="24"/>
        </w:rPr>
        <w:t xml:space="preserve">: Since all organizations are limited by the amount of CTI they can process, it is important to put processes in place to prioritize the most relevant intelligence to avoid resource strain.</w:t>
      </w:r>
      <w:r>
        <w:rPr>
          <w:rFonts w:ascii="Arial" w:hAnsi="Arial" w:eastAsia="Arial" w:cs="Arial"/>
        </w:rPr>
      </w:r>
    </w:p>
    <w:p>
      <w:pPr>
        <w:pStyle w:val="140"/>
        <w:pBdr>
          <w:top w:val="vine" w:color="000000" w:sz="4" w:space="0"/>
          <w:left w:val="vine" w:color="000000" w:sz="4" w:space="0"/>
          <w:bottom w:val="vine" w:color="000000" w:sz="4" w:space="0"/>
          <w:right w:val="vine" w:color="000000" w:sz="4" w:space="0"/>
        </w:pBdr>
        <w:spacing/>
        <w:ind w:right="0" w:firstLine="0" w:left="0"/>
        <w:rPr>
          <w:rFonts w:ascii="Arial" w:hAnsi="Arial" w:cs="Arial"/>
          <w14:ligatures w14:val="none"/>
        </w:rPr>
      </w:pPr>
      <w:r>
        <w:rPr>
          <w:rFonts w:ascii="Arial" w:hAnsi="Arial" w:eastAsia="Arial" w:cs="Arial"/>
        </w:rPr>
        <w:t xml:space="preserve">4. Feedback Mechanisms and Prior Beliefs</w:t>
      </w:r>
      <w:r>
        <w:rPr>
          <w:rFonts w:ascii="Arial" w:hAnsi="Arial" w:eastAsia="Arial" w:cs="Arial"/>
        </w:rPr>
      </w:r>
    </w:p>
    <w:p>
      <w:pPr>
        <w:pStyle w:val="664"/>
        <w:numPr>
          <w:ilvl w:val="0"/>
          <w:numId w:val="11"/>
        </w:numPr>
        <w:pBdr/>
        <w:spacing/>
        <w:ind/>
        <w:rPr>
          <w:rFonts w:ascii="Arial" w:hAnsi="Arial" w:cs="Arial"/>
        </w:rPr>
      </w:pPr>
      <w:r>
        <w:rPr>
          <w:rFonts w:ascii="Arial" w:hAnsi="Arial" w:eastAsia="Arial" w:cs="Arial"/>
          <w:b/>
          <w:color w:val="000000"/>
          <w:sz w:val="24"/>
        </w:rPr>
        <w:t xml:space="preserve">Feedback Integration</w:t>
      </w:r>
      <w:r>
        <w:rPr>
          <w:rFonts w:ascii="Arial" w:hAnsi="Arial" w:eastAsia="Arial" w:cs="Arial"/>
          <w:color w:val="000000"/>
          <w:sz w:val="24"/>
        </w:rPr>
        <w:t xml:space="preserve">: Our firm should keep track of and seek feedback on how CTI has impacted security investments and outcomes to fine-tune our prioritization.</w:t>
      </w:r>
      <w:r>
        <w:rPr>
          <w:rFonts w:ascii="Arial" w:hAnsi="Arial" w:eastAsia="Arial" w:cs="Arial"/>
        </w:rPr>
      </w:r>
    </w:p>
    <w:p>
      <w:pPr>
        <w:pStyle w:val="664"/>
        <w:numPr>
          <w:ilvl w:val="0"/>
          <w:numId w:val="11"/>
        </w:numPr>
        <w:pBdr/>
        <w:spacing/>
        <w:ind/>
        <w:rPr>
          <w:rFonts w:ascii="Arial" w:hAnsi="Arial" w:cs="Arial"/>
        </w:rPr>
      </w:pPr>
      <w:r>
        <w:rPr>
          <w:rFonts w:ascii="Arial" w:hAnsi="Arial" w:eastAsia="Arial" w:cs="Arial"/>
          <w:b/>
          <w:color w:val="000000"/>
          <w:sz w:val="24"/>
        </w:rPr>
        <w:t xml:space="preserve">Assessment of Prior Beliefs</w:t>
      </w:r>
      <w:r>
        <w:rPr>
          <w:rFonts w:ascii="Arial" w:hAnsi="Arial" w:eastAsia="Arial" w:cs="Arial"/>
          <w:color w:val="000000"/>
          <w:sz w:val="24"/>
        </w:rPr>
        <w:t xml:space="preserve">: The article notes that understanding existing beliefs about threats can optimize CTI use. Our firm should assess its baseline beliefs before acting on new intelligence.</w:t>
      </w:r>
      <w:r>
        <w:rPr>
          <w:rFonts w:ascii="Arial" w:hAnsi="Arial" w:eastAsia="Arial" w:cs="Arial"/>
        </w:rPr>
      </w:r>
    </w:p>
    <w:p>
      <w:pPr>
        <w:pStyle w:val="140"/>
        <w:pBdr>
          <w:top w:val="vine" w:color="000000" w:sz="4" w:space="0"/>
          <w:left w:val="vine" w:color="000000" w:sz="4" w:space="0"/>
          <w:bottom w:val="vine" w:color="000000" w:sz="4" w:space="0"/>
          <w:right w:val="vine" w:color="000000" w:sz="4" w:space="0"/>
        </w:pBdr>
        <w:spacing/>
        <w:ind w:right="0" w:firstLine="0" w:left="0"/>
        <w:rPr>
          <w:rFonts w:ascii="Arial" w:hAnsi="Arial" w:cs="Arial"/>
          <w14:ligatures w14:val="none"/>
        </w:rPr>
      </w:pPr>
      <w:r>
        <w:rPr>
          <w:rFonts w:ascii="Arial" w:hAnsi="Arial" w:eastAsia="Arial" w:cs="Arial"/>
        </w:rPr>
        <w:t xml:space="preserve">5. Strategic Prioritization</w:t>
      </w:r>
      <w:r>
        <w:rPr>
          <w:rFonts w:ascii="Arial" w:hAnsi="Arial" w:eastAsia="Arial" w:cs="Arial"/>
        </w:rPr>
      </w:r>
    </w:p>
    <w:p>
      <w:pPr>
        <w:pStyle w:val="664"/>
        <w:numPr>
          <w:ilvl w:val="0"/>
          <w:numId w:val="10"/>
        </w:numPr>
        <w:pBdr/>
        <w:spacing/>
        <w:ind/>
        <w:rPr>
          <w:rFonts w:ascii="Arial" w:hAnsi="Arial" w:cs="Arial"/>
        </w:rPr>
      </w:pPr>
      <w:r>
        <w:rPr>
          <w:rFonts w:ascii="Arial" w:hAnsi="Arial" w:eastAsia="Arial" w:cs="Arial"/>
          <w:b/>
          <w:color w:val="000000"/>
          <w:sz w:val="24"/>
        </w:rPr>
        <w:t xml:space="preserve">Focus on High-Impact Intelligence</w:t>
      </w:r>
      <w:r>
        <w:rPr>
          <w:rFonts w:ascii="Arial" w:hAnsi="Arial" w:eastAsia="Arial" w:cs="Arial"/>
          <w:color w:val="000000"/>
          <w:sz w:val="24"/>
        </w:rPr>
        <w:t xml:space="preserve">: The article argues that to share CTI in the most beneficial manner involves focusing on threats where prior beliefs are low. Therefore, our firm should align its focus on CTI that fills critical knowledge gaps, rather than just high-profile threats.</w:t>
      </w:r>
      <w:r>
        <w:rPr>
          <w:rFonts w:ascii="Arial" w:hAnsi="Arial" w:eastAsia="Arial" w:cs="Arial"/>
        </w:rPr>
      </w:r>
    </w:p>
    <w:p>
      <w:pPr>
        <w:pStyle w:val="140"/>
        <w:pBdr>
          <w:top w:val="vine" w:color="000000" w:sz="4" w:space="0"/>
          <w:left w:val="vine" w:color="000000" w:sz="4" w:space="0"/>
          <w:bottom w:val="vine" w:color="000000" w:sz="4" w:space="0"/>
          <w:right w:val="vine" w:color="000000" w:sz="4" w:space="0"/>
        </w:pBdr>
        <w:spacing/>
        <w:ind w:right="0" w:firstLine="0" w:left="0"/>
        <w:rPr>
          <w:rFonts w:ascii="Arial" w:hAnsi="Arial" w:cs="Arial"/>
          <w14:ligatures w14:val="none"/>
        </w:rPr>
      </w:pPr>
      <w:r>
        <w:rPr>
          <w:rFonts w:ascii="Arial" w:hAnsi="Arial" w:eastAsia="Arial" w:cs="Arial"/>
        </w:rPr>
        <w:t xml:space="preserve">6. Potential Areas for Improvement:</w:t>
      </w:r>
      <w:r>
        <w:rPr>
          <w:rFonts w:ascii="Arial" w:hAnsi="Arial" w:eastAsia="Arial" w:cs="Arial"/>
        </w:rPr>
      </w:r>
    </w:p>
    <w:p>
      <w:pPr>
        <w:pStyle w:val="664"/>
        <w:numPr>
          <w:ilvl w:val="0"/>
          <w:numId w:val="9"/>
        </w:numPr>
        <w:pBdr/>
        <w:spacing/>
        <w:ind/>
        <w:rPr>
          <w:rFonts w:ascii="Arial" w:hAnsi="Arial" w:cs="Arial"/>
        </w:rPr>
      </w:pPr>
      <w:r>
        <w:rPr>
          <w:rFonts w:ascii="Arial" w:hAnsi="Arial" w:eastAsia="Arial" w:cs="Arial"/>
          <w:b/>
          <w:color w:val="000000"/>
          <w:sz w:val="24"/>
        </w:rPr>
        <w:t xml:space="preserve">Prior Belief Evaluation</w:t>
      </w:r>
      <w:r>
        <w:rPr>
          <w:rFonts w:ascii="Arial" w:hAnsi="Arial" w:eastAsia="Arial" w:cs="Arial"/>
          <w:color w:val="000000"/>
          <w:sz w:val="24"/>
        </w:rPr>
        <w:t xml:space="preserve">: Ensure our firm assesses existing threat beliefs to maximize the impact of new intelligence.</w:t>
      </w:r>
      <w:r>
        <w:rPr>
          <w:rFonts w:ascii="Arial" w:hAnsi="Arial" w:eastAsia="Arial" w:cs="Arial"/>
        </w:rPr>
      </w:r>
    </w:p>
    <w:p>
      <w:pPr>
        <w:pStyle w:val="664"/>
        <w:numPr>
          <w:ilvl w:val="0"/>
          <w:numId w:val="9"/>
        </w:numPr>
        <w:pBdr/>
        <w:spacing/>
        <w:ind/>
        <w:rPr>
          <w:rFonts w:ascii="Arial" w:hAnsi="Arial" w:cs="Arial"/>
        </w:rPr>
      </w:pPr>
      <w:r>
        <w:rPr>
          <w:rFonts w:ascii="Arial" w:hAnsi="Arial" w:eastAsia="Arial" w:cs="Arial"/>
          <w:b/>
          <w:color w:val="000000"/>
          <w:sz w:val="24"/>
        </w:rPr>
        <w:t xml:space="preserve">Dynamic Response</w:t>
      </w:r>
      <w:r>
        <w:rPr>
          <w:rFonts w:ascii="Arial" w:hAnsi="Arial" w:eastAsia="Arial" w:cs="Arial"/>
          <w:color w:val="000000"/>
          <w:sz w:val="24"/>
        </w:rPr>
        <w:t xml:space="preserve">: Implement policies to adjust cybersecurity measures more aggressively when CTI diverges from prior assessments.</w:t>
      </w:r>
      <w:r>
        <w:rPr>
          <w:rFonts w:ascii="Arial" w:hAnsi="Arial" w:eastAsia="Arial" w:cs="Arial"/>
        </w:rPr>
      </w:r>
    </w:p>
    <w:p>
      <w:pPr>
        <w:pStyle w:val="664"/>
        <w:numPr>
          <w:ilvl w:val="0"/>
          <w:numId w:val="9"/>
        </w:numPr>
        <w:pBdr/>
        <w:spacing/>
        <w:ind/>
        <w:rPr>
          <w:rFonts w:ascii="Arial" w:hAnsi="Arial" w:cs="Arial"/>
        </w:rPr>
      </w:pPr>
      <w:r>
        <w:rPr>
          <w:rFonts w:ascii="Arial" w:hAnsi="Arial" w:eastAsia="Arial" w:cs="Arial"/>
          <w:b/>
          <w:color w:val="000000"/>
          <w:sz w:val="24"/>
        </w:rPr>
        <w:t xml:space="preserve">CTI Utilization Strategy</w:t>
      </w:r>
      <w:r>
        <w:rPr>
          <w:rFonts w:ascii="Arial" w:hAnsi="Arial" w:eastAsia="Arial" w:cs="Arial"/>
          <w:color w:val="000000"/>
          <w:sz w:val="24"/>
        </w:rPr>
        <w:t xml:space="preserve">: Tailor CTI use to prevent information overload and prioritize intelligence that yields the most strategic value.</w:t>
      </w:r>
      <w:r>
        <w:rPr>
          <w:rFonts w:ascii="Arial" w:hAnsi="Arial" w:eastAsia="Arial" w:cs="Arial"/>
        </w:rPr>
      </w:r>
    </w:p>
    <w:p>
      <w:pPr>
        <w:pStyle w:val="140"/>
        <w:pBdr>
          <w:top w:val="vine" w:color="000000" w:sz="4" w:space="0"/>
          <w:left w:val="vine" w:color="000000" w:sz="4" w:space="0"/>
          <w:bottom w:val="vine" w:color="000000" w:sz="4" w:space="0"/>
          <w:right w:val="vine" w:color="000000" w:sz="4" w:space="0"/>
        </w:pBdr>
        <w:spacing/>
        <w:ind w:right="0" w:firstLine="0" w:left="0"/>
        <w:rPr>
          <w:rFonts w:ascii="Arial" w:hAnsi="Arial" w:cs="Arial"/>
          <w14:ligatures w14:val="none"/>
        </w:rPr>
      </w:pPr>
      <w:r>
        <w:rPr>
          <w:rFonts w:ascii="Arial" w:hAnsi="Arial" w:eastAsia="Arial" w:cs="Arial"/>
        </w:rPr>
        <w:t xml:space="preserve">7. Next Steps:</w:t>
      </w:r>
      <w:r>
        <w:rPr>
          <w:rFonts w:ascii="Arial" w:hAnsi="Arial" w:eastAsia="Arial" w:cs="Arial"/>
        </w:rPr>
      </w:r>
    </w:p>
    <w:p>
      <w:pPr>
        <w:pStyle w:val="664"/>
        <w:numPr>
          <w:ilvl w:val="0"/>
          <w:numId w:val="8"/>
        </w:numPr>
        <w:pBdr/>
        <w:spacing/>
        <w:ind/>
        <w:rPr>
          <w:rFonts w:ascii="Arial" w:hAnsi="Arial" w:cs="Arial"/>
        </w:rPr>
      </w:pPr>
      <w:r>
        <w:rPr>
          <w:rFonts w:ascii="Arial" w:hAnsi="Arial" w:eastAsia="Arial" w:cs="Arial"/>
          <w:b/>
          <w:color w:val="000000"/>
          <w:sz w:val="24"/>
        </w:rPr>
        <w:t xml:space="preserve">Audit Current CTI Processes</w:t>
      </w:r>
      <w:r>
        <w:rPr>
          <w:rFonts w:ascii="Arial" w:hAnsi="Arial" w:eastAsia="Arial" w:cs="Arial"/>
          <w:color w:val="000000"/>
          <w:sz w:val="24"/>
        </w:rPr>
        <w:t xml:space="preserve">: Conduct an evaluation to determine how current CTI processes align with the article's suggestions.</w:t>
      </w:r>
      <w:r>
        <w:rPr>
          <w:rFonts w:ascii="Arial" w:hAnsi="Arial" w:eastAsia="Arial" w:cs="Arial"/>
        </w:rPr>
      </w:r>
    </w:p>
    <w:p>
      <w:pPr>
        <w:pStyle w:val="664"/>
        <w:numPr>
          <w:ilvl w:val="0"/>
          <w:numId w:val="8"/>
        </w:numPr>
        <w:pBdr/>
        <w:spacing/>
        <w:ind/>
        <w:rPr>
          <w:rFonts w:ascii="Arial" w:hAnsi="Arial" w:cs="Arial"/>
        </w:rPr>
      </w:pPr>
      <w:r>
        <w:rPr>
          <w:rFonts w:ascii="Arial" w:hAnsi="Arial" w:eastAsia="Arial" w:cs="Arial"/>
          <w:b/>
          <w:color w:val="000000"/>
          <w:sz w:val="24"/>
        </w:rPr>
        <w:t xml:space="preserve">Strengthen Feedback Loops</w:t>
      </w:r>
      <w:r>
        <w:rPr>
          <w:rFonts w:ascii="Arial" w:hAnsi="Arial" w:eastAsia="Arial" w:cs="Arial"/>
          <w:color w:val="000000"/>
          <w:sz w:val="24"/>
        </w:rPr>
        <w:t xml:space="preserve">: Develop mechanisms for continuous feedback and reassessment of the effectiveness of CTI in shaping security measures.</w:t>
      </w:r>
      <w:r>
        <w:rPr>
          <w:rFonts w:ascii="Arial" w:hAnsi="Arial" w:eastAsia="Arial" w:cs="Arial"/>
        </w:rPr>
      </w:r>
    </w:p>
    <w:p>
      <w:pPr>
        <w:pStyle w:val="664"/>
        <w:numPr>
          <w:ilvl w:val="0"/>
          <w:numId w:val="8"/>
        </w:numPr>
        <w:pBdr/>
        <w:spacing/>
        <w:ind/>
        <w:rPr>
          <w:rFonts w:ascii="Arial" w:hAnsi="Arial" w:cs="Arial"/>
        </w:rPr>
      </w:pPr>
      <w:r>
        <w:rPr>
          <w:rFonts w:ascii="Arial" w:hAnsi="Arial" w:eastAsia="Arial" w:cs="Arial"/>
          <w:b/>
          <w:color w:val="000000"/>
          <w:sz w:val="24"/>
        </w:rPr>
        <w:t xml:space="preserve">Training and Awareness</w:t>
      </w:r>
      <w:r>
        <w:rPr>
          <w:rFonts w:ascii="Arial" w:hAnsi="Arial" w:eastAsia="Arial" w:cs="Arial"/>
          <w:color w:val="000000"/>
          <w:sz w:val="24"/>
        </w:rPr>
        <w:t xml:space="preserve">: Ensure teams are well-equipped to interpret and act on relevant CTI effectively.</w:t>
      </w:r>
      <w:r>
        <w:rPr>
          <w:rFonts w:ascii="Arial" w:hAnsi="Arial" w:eastAsia="Arial" w:cs="Arial"/>
        </w:rPr>
      </w:r>
    </w:p>
    <w:p>
      <w:pPr>
        <w:pBdr>
          <w:top w:val="vine" w:color="000000" w:sz="4" w:space="0"/>
          <w:left w:val="vine" w:color="000000" w:sz="4" w:space="0"/>
          <w:bottom w:val="vine" w:color="000000" w:sz="4" w:space="0"/>
          <w:right w:val="vine" w:color="000000" w:sz="4" w:space="0"/>
        </w:pBdr>
        <w:spacing/>
        <w:ind w:right="0" w:firstLine="0" w:left="0"/>
        <w:rPr>
          <w:rFonts w:ascii="Arial" w:hAnsi="Arial" w:cs="Arial"/>
          <w:color w:val="000000"/>
          <w:sz w:val="24"/>
          <w:szCs w:val="24"/>
          <w:highlight w:val="none"/>
        </w:rPr>
      </w:pPr>
      <w:r>
        <w:rPr>
          <w:rFonts w:ascii="Arial" w:hAnsi="Arial" w:eastAsia="Arial" w:cs="Arial"/>
          <w:color w:val="000000"/>
          <w:sz w:val="24"/>
        </w:rPr>
        <w:t xml:space="preserve">By aligning our  firm's practices with these insights, we may optimize how well we understand and focus on the cybersecurity of its assets.</w:t>
      </w:r>
      <w:r>
        <w:rPr>
          <w:rFonts w:ascii="Arial" w:hAnsi="Arial" w:eastAsia="Arial" w:cs="Arial"/>
        </w:rPr>
      </w:r>
      <w:r>
        <w:rPr>
          <w:rFonts w:ascii="Arial" w:hAnsi="Arial" w:eastAsia="Arial" w:cs="Arial"/>
          <w:sz w:val="24"/>
        </w:rPr>
      </w:r>
    </w:p>
    <w:p>
      <w:pPr>
        <w:pBdr>
          <w:top w:val="vine" w:color="000000" w:sz="4" w:space="0"/>
          <w:left w:val="vine" w:color="000000" w:sz="4" w:space="0"/>
          <w:bottom w:val="vine" w:color="000000" w:sz="4" w:space="0"/>
          <w:right w:val="vine" w:color="000000" w:sz="4" w:space="0"/>
        </w:pBdr>
        <w:spacing/>
        <w:ind w:right="0" w:firstLine="0" w:left="0"/>
        <w:rPr>
          <w:rFonts w:ascii="Arial" w:hAnsi="Arial" w:cs="Arial"/>
          <w:sz w:val="24"/>
          <w:szCs w:val="24"/>
        </w:rPr>
      </w:pPr>
      <w:r>
        <w:rPr>
          <w:rFonts w:ascii="Arial" w:hAnsi="Arial" w:eastAsia="Arial" w:cs="Arial"/>
          <w:sz w:val="24"/>
          <w:szCs w:val="24"/>
        </w:rPr>
      </w:r>
      <w:r>
        <w:rPr>
          <w:rFonts w:ascii="Arial" w:hAnsi="Arial" w:eastAsia="Arial" w:cs="Arial"/>
          <w:sz w:val="24"/>
          <w:szCs w:val="24"/>
        </w:rPr>
      </w:r>
    </w:p>
    <w:p>
      <w:pPr>
        <w:pStyle w:val="139"/>
        <w:pBdr/>
        <w:spacing/>
        <w:ind/>
        <w:rPr>
          <w:rFonts w:ascii="Arial" w:hAnsi="Arial" w:cs="Arial"/>
          <w14:ligatures w14:val="none"/>
        </w:rPr>
      </w:pPr>
      <w:r>
        <w:rPr>
          <w:rFonts w:ascii="Arial" w:hAnsi="Arial" w:eastAsia="Arial" w:cs="Arial"/>
          <w:highlight w:val="none"/>
        </w:rPr>
        <w:t xml:space="preserve">Questions and Suggestions Regarding the Research</w:t>
      </w:r>
      <w:r>
        <w:rPr>
          <w:rFonts w:ascii="Arial" w:hAnsi="Arial" w:eastAsia="Arial" w:cs="Arial"/>
          <w:highlight w:val="none"/>
        </w:rPr>
      </w:r>
    </w:p>
    <w:p>
      <w:pPr>
        <w:pBdr/>
        <w:spacing/>
        <w:ind/>
        <w:rPr>
          <w:rFonts w:ascii="Arial" w:hAnsi="Arial" w:eastAsia="Arial" w:cs="Arial"/>
          <w:highlight w:val="none"/>
        </w:rPr>
      </w:pPr>
      <w:r>
        <w:rPr>
          <w:rFonts w:ascii="Arial" w:hAnsi="Arial" w:eastAsia="Arial" w:cs="Arial"/>
        </w:rPr>
        <w:t xml:space="preserve">It seems to me that prior to this research being published, it was common that CTI efforts would be focused on the highest threats. This makes intuitive sense, because why wouldn’t a company focus on what it believes to be the largest issues? It took me a while, however to realize this while reading the article. I had not previously thought about prioritizing one form of CTI over another. Therefore, to at least at first, it seemed obvious that the largest benefit of CTI is when a company learns that its assumptions were wrong. After all, if the assumptions agreed with the CTI, then there would be no reason to change course. Therefore, o</w:t>
      </w:r>
      <w:r>
        <w:rPr>
          <w:rFonts w:ascii="Arial" w:hAnsi="Arial" w:eastAsia="Arial" w:cs="Arial"/>
          <w:highlight w:val="none"/>
        </w:rPr>
        <w:t xml:space="preserve">ne question I have for the author is why was it not obvious that learning about incorrect assumptions was not previously seen as the biggest benefit of CTI? </w:t>
      </w:r>
      <w:r>
        <w:rPr>
          <w:rFonts w:ascii="Arial" w:hAnsi="Arial" w:eastAsia="Arial" w:cs="Arial"/>
          <w:highlight w:val="none"/>
        </w:rPr>
      </w:r>
      <w:r>
        <w:rPr>
          <w:rFonts w:ascii="Arial" w:hAnsi="Arial" w:eastAsia="Arial" w:cs="Arial"/>
          <w:highlight w:val="none"/>
        </w:rPr>
      </w:r>
    </w:p>
    <w:p>
      <w:pPr>
        <w:pBdr/>
        <w:spacing/>
        <w:ind/>
        <w:rPr>
          <w:rFonts w:ascii="Arial" w:hAnsi="Arial" w:eastAsia="Arial" w:cs="Arial"/>
          <w:highlight w:val="none"/>
        </w:rPr>
      </w:pPr>
      <w:r>
        <w:rPr>
          <w:rFonts w:ascii="Arial" w:hAnsi="Arial" w:eastAsia="Arial" w:cs="Arial"/>
          <w:highlight w:val="none"/>
        </w:rPr>
        <w:t xml:space="preserve">Another question I have for the author regards the “free-rider” problem. Obviously, the more CTI is shared, the better, but for private enterprises, it can seem like sharing CTI without any direct return on investment. This feeling is justified, because companies can easily get access to shared CTI without contributing any CTI of their own. What are some potential solutions to this “free-rider” problem, and how, if any, have companies found solutions to it in the past?</w:t>
      </w:r>
      <w:r>
        <w:rPr>
          <w:rFonts w:ascii="Arial" w:hAnsi="Arial" w:eastAsia="Arial" w:cs="Arial"/>
          <w:highlight w:val="none"/>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Times New Roman">
    <w:panose1 w:val="02020603050405020304"/>
  </w:font>
  <w:font w:name="Symbol">
    <w:panose1 w:val="05050102010706020507"/>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3">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4">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5">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6">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table" w:styleId="6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2" w:default="1">
    <w:name w:val="No List"/>
    <w:uiPriority w:val="99"/>
    <w:semiHidden/>
    <w:unhideWhenUsed/>
    <w:pPr>
      <w:pBdr/>
      <w:spacing/>
      <w:ind/>
    </w:pPr>
  </w:style>
  <w:style w:type="paragraph" w:styleId="663">
    <w:name w:val="No Spacing"/>
    <w:basedOn w:val="660"/>
    <w:uiPriority w:val="1"/>
    <w:qFormat/>
    <w:pPr>
      <w:pBdr/>
      <w:spacing w:after="0" w:line="240" w:lineRule="auto"/>
      <w:ind/>
    </w:pPr>
  </w:style>
  <w:style w:type="paragraph" w:styleId="664">
    <w:name w:val="List Paragraph"/>
    <w:basedOn w:val="66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2024-11-15T03:00:36Z</dcterms:modified>
</cp:coreProperties>
</file>